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FC" w:rsidRPr="00F41F05" w:rsidRDefault="00F421A5" w:rsidP="00C2056C">
      <w:pPr>
        <w:pStyle w:val="Titre3"/>
      </w:pPr>
      <w:r w:rsidRPr="00F41F05">
        <w:t>Enjeux</w:t>
      </w:r>
    </w:p>
    <w:p w:rsidR="005978D9" w:rsidRDefault="005978D9" w:rsidP="005978D9">
      <w:pPr>
        <w:spacing w:line="240" w:lineRule="auto"/>
        <w:jc w:val="both"/>
        <w:rPr>
          <w:rFonts w:eastAsia="Times New Roman" w:cs="Arial"/>
          <w:sz w:val="24"/>
          <w:szCs w:val="24"/>
          <w:lang w:eastAsia="fr-FR"/>
        </w:rPr>
      </w:pPr>
    </w:p>
    <w:p w:rsidR="005978D9" w:rsidRPr="005978D9" w:rsidRDefault="005978D9" w:rsidP="005978D9">
      <w:pPr>
        <w:jc w:val="both"/>
      </w:pPr>
      <w:r w:rsidRPr="005978D9">
        <w:t xml:space="preserve">L’outil </w:t>
      </w:r>
      <w:proofErr w:type="spellStart"/>
      <w:r w:rsidRPr="005978D9">
        <w:t>autodiag</w:t>
      </w:r>
      <w:proofErr w:type="spellEnd"/>
      <w:r w:rsidRPr="005978D9">
        <w:t xml:space="preserve"> en psychiatrie et santé mentale est un outil de dialogue interne et externe qui permet de vérifier le niveau d’acceptation et d’engagement à s’inscrire comme intervenant actif dans le parcours de vie personnes vivant avec des troubles psychiques chroniques.</w:t>
      </w:r>
    </w:p>
    <w:p w:rsidR="005978D9" w:rsidRPr="005978D9" w:rsidRDefault="005978D9" w:rsidP="005978D9">
      <w:pPr>
        <w:jc w:val="both"/>
      </w:pPr>
      <w:r w:rsidRPr="005978D9">
        <w:t xml:space="preserve">Il peut être utilisé à l’occasion de l’association de l’établissement dans la démarche du DTPSM ou à l’occasion de l’élaboration d’un projet de service, de pôle, ou du projet d’établissement. </w:t>
      </w:r>
    </w:p>
    <w:p w:rsidR="00F421A5" w:rsidRPr="00F421A5" w:rsidRDefault="00F421A5" w:rsidP="00C2056C">
      <w:pPr>
        <w:pStyle w:val="Titre3"/>
      </w:pPr>
      <w:r>
        <w:t>Description</w:t>
      </w:r>
    </w:p>
    <w:p w:rsidR="005978D9" w:rsidRPr="005978D9" w:rsidRDefault="005978D9" w:rsidP="005978D9">
      <w:pPr>
        <w:jc w:val="both"/>
      </w:pPr>
      <w:r w:rsidRPr="005978D9">
        <w:t xml:space="preserve">L’outil est constitué de 72 questions qui permettent d’interroger le positionnement de l’établissement, du service ou du pôle au regard des 5 « portes d’entrée » où sont constatés  les risques de rupture les plus fréquents dans le parcours de la personne : </w:t>
      </w:r>
    </w:p>
    <w:p w:rsidR="005978D9" w:rsidRPr="005978D9" w:rsidRDefault="005978D9" w:rsidP="005978D9">
      <w:pPr>
        <w:jc w:val="both"/>
      </w:pPr>
    </w:p>
    <w:p w:rsidR="005978D9" w:rsidRPr="005978D9" w:rsidRDefault="005978D9" w:rsidP="005978D9">
      <w:pPr>
        <w:jc w:val="both"/>
      </w:pPr>
      <w:r w:rsidRPr="005978D9">
        <w:t>Pour chaque item, les réponses apportées par l’établissement, le service ou le pôle sont analysées sous l’angle de la communication, des pratiques professionnelles et du pilotage.</w:t>
      </w:r>
    </w:p>
    <w:p w:rsidR="005978D9" w:rsidRPr="005978D9" w:rsidRDefault="005978D9" w:rsidP="005978D9">
      <w:pPr>
        <w:jc w:val="both"/>
      </w:pPr>
      <w:r w:rsidRPr="005978D9">
        <w:t xml:space="preserve">L’outil permet ainsi d’objectiver les organisations permettant d’assurer une prise en compte de la personne dans sa globalité, de mieux gérer les situations de crise et de préparer et de réussir la sortie du patient. </w:t>
      </w:r>
    </w:p>
    <w:p w:rsidR="005978D9" w:rsidRPr="005978D9" w:rsidRDefault="005978D9" w:rsidP="005978D9">
      <w:pPr>
        <w:jc w:val="both"/>
      </w:pPr>
      <w:r w:rsidRPr="005978D9">
        <w:t>Le résultat est traduit sous forme de radar ce qui permet de visualiser très rapidement les points forts et les axes d’amélioration.</w:t>
      </w:r>
    </w:p>
    <w:p w:rsidR="005978D9" w:rsidRPr="005978D9" w:rsidRDefault="005978D9" w:rsidP="005978D9">
      <w:pPr>
        <w:jc w:val="both"/>
      </w:pPr>
      <w:r w:rsidRPr="005978D9">
        <w:t>L’établissement qui s’en sert pourra ainsi engager les mesures correctrices pour aborder le patient dans son environnement et s’inscrire dans le parcours territorial.</w:t>
      </w:r>
    </w:p>
    <w:p w:rsidR="005978D9" w:rsidRPr="005336CB" w:rsidRDefault="005978D9" w:rsidP="005978D9">
      <w:pPr>
        <w:spacing w:line="240" w:lineRule="auto"/>
        <w:jc w:val="both"/>
        <w:rPr>
          <w:rFonts w:eastAsia="Times New Roman" w:cs="Arial"/>
          <w:sz w:val="24"/>
          <w:szCs w:val="24"/>
          <w:lang w:eastAsia="fr-FR"/>
        </w:rPr>
      </w:pPr>
    </w:p>
    <w:p w:rsidR="00F421A5" w:rsidRDefault="00F421A5" w:rsidP="00C2056C">
      <w:pPr>
        <w:pStyle w:val="Titre3"/>
      </w:pPr>
      <w:r>
        <w:t>Moyens</w:t>
      </w:r>
    </w:p>
    <w:p w:rsidR="00C2056C" w:rsidRPr="005978D9" w:rsidRDefault="005978D9" w:rsidP="005978D9">
      <w:pPr>
        <w:jc w:val="both"/>
      </w:pPr>
      <w:r w:rsidRPr="005978D9">
        <w:t xml:space="preserve">Utilisation des données d’information internes, recueils nationaux </w:t>
      </w:r>
      <w:r w:rsidR="00C2056C" w:rsidRPr="005978D9">
        <w:t xml:space="preserve"> </w:t>
      </w:r>
      <w:r w:rsidRPr="005978D9">
        <w:t>et/ou DIM</w:t>
      </w:r>
    </w:p>
    <w:p w:rsidR="005978D9" w:rsidRPr="005978D9" w:rsidRDefault="005978D9" w:rsidP="005978D9">
      <w:pPr>
        <w:jc w:val="both"/>
      </w:pPr>
      <w:r w:rsidRPr="005978D9">
        <w:t>Opportunité de vérifier et de fiabiliser ces données</w:t>
      </w:r>
    </w:p>
    <w:p w:rsidR="005978D9" w:rsidRDefault="005978D9" w:rsidP="00C2056C"/>
    <w:p w:rsidR="00F421A5" w:rsidRDefault="00C2056C" w:rsidP="00C2056C">
      <w:pPr>
        <w:pStyle w:val="Titre3"/>
      </w:pPr>
      <w:r>
        <w:t>A</w:t>
      </w:r>
      <w:r w:rsidR="00F421A5">
        <w:t>cteurs concernés</w:t>
      </w:r>
    </w:p>
    <w:p w:rsidR="005978D9" w:rsidRPr="005978D9" w:rsidRDefault="005978D9" w:rsidP="005978D9">
      <w:pPr>
        <w:jc w:val="both"/>
      </w:pPr>
      <w:r w:rsidRPr="005978D9">
        <w:t xml:space="preserve">L’outil s’adresse aux établissements sanitaires de psychiatrie ou MCO ayant des unités de psychiatrie adultes. </w:t>
      </w:r>
    </w:p>
    <w:p w:rsidR="005978D9" w:rsidRPr="005978D9" w:rsidRDefault="005978D9" w:rsidP="005978D9">
      <w:pPr>
        <w:jc w:val="both"/>
      </w:pPr>
      <w:r w:rsidRPr="005978D9">
        <w:t>Le diagnostic peut s’effectuer au niveau du service ou du pôle pour comparaison des pratiques entre eux, ou de l’établissement dans sa globalité. Sa saisie dans un cadre collectif, au cours d’une réunion d’équipe ou de service par le cadre de santé et le médecin de l’unité ou du pôle, est le gage d’une démarche institutionnelle.</w:t>
      </w:r>
    </w:p>
    <w:p w:rsidR="005978D9" w:rsidRDefault="005978D9" w:rsidP="005978D9">
      <w:pPr>
        <w:jc w:val="both"/>
        <w:rPr>
          <w:b/>
          <w:sz w:val="24"/>
          <w:szCs w:val="24"/>
        </w:rPr>
      </w:pPr>
    </w:p>
    <w:p w:rsidR="005978D9" w:rsidRDefault="005978D9" w:rsidP="005978D9">
      <w:pPr>
        <w:jc w:val="both"/>
        <w:rPr>
          <w:b/>
          <w:sz w:val="24"/>
          <w:szCs w:val="24"/>
        </w:rPr>
      </w:pPr>
      <w:r>
        <w:rPr>
          <w:b/>
          <w:sz w:val="24"/>
          <w:szCs w:val="24"/>
        </w:rPr>
        <w:t>(bouton cliquable :)</w:t>
      </w:r>
    </w:p>
    <w:p w:rsidR="005978D9" w:rsidRDefault="005978D9" w:rsidP="005978D9">
      <w:pPr>
        <w:jc w:val="both"/>
        <w:rPr>
          <w:b/>
          <w:sz w:val="24"/>
          <w:szCs w:val="24"/>
        </w:rPr>
      </w:pPr>
      <w:r>
        <w:rPr>
          <w:b/>
          <w:noProof/>
          <w:sz w:val="24"/>
          <w:szCs w:val="24"/>
          <w:lang w:eastAsia="fr-FR"/>
        </w:rPr>
        <mc:AlternateContent>
          <mc:Choice Requires="wps">
            <w:drawing>
              <wp:anchor distT="0" distB="0" distL="114300" distR="114300" simplePos="0" relativeHeight="251659264" behindDoc="0" locked="0" layoutInCell="1" allowOverlap="1" wp14:anchorId="78C45A2D" wp14:editId="1FC46D68">
                <wp:simplePos x="0" y="0"/>
                <wp:positionH relativeFrom="column">
                  <wp:posOffset>431165</wp:posOffset>
                </wp:positionH>
                <wp:positionV relativeFrom="paragraph">
                  <wp:posOffset>92075</wp:posOffset>
                </wp:positionV>
                <wp:extent cx="3975100" cy="580445"/>
                <wp:effectExtent l="38100" t="38100" r="120650" b="105410"/>
                <wp:wrapNone/>
                <wp:docPr id="2" name="Rectangle à coins arrondis 2"/>
                <wp:cNvGraphicFramePr/>
                <a:graphic xmlns:a="http://schemas.openxmlformats.org/drawingml/2006/main">
                  <a:graphicData uri="http://schemas.microsoft.com/office/word/2010/wordprocessingShape">
                    <wps:wsp>
                      <wps:cNvSpPr/>
                      <wps:spPr>
                        <a:xfrm>
                          <a:off x="0" y="0"/>
                          <a:ext cx="3975100" cy="580445"/>
                        </a:xfrm>
                        <a:prstGeom prst="roundRect">
                          <a:avLst/>
                        </a:prstGeom>
                        <a:solidFill>
                          <a:srgbClr val="C00000"/>
                        </a:solid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978D9" w:rsidRDefault="005978D9" w:rsidP="005978D9">
                            <w:pPr>
                              <w:jc w:val="center"/>
                            </w:pPr>
                            <w:r>
                              <w:rPr>
                                <w:b/>
                                <w:sz w:val="24"/>
                                <w:szCs w:val="24"/>
                              </w:rPr>
                              <w:t>Accédez à l’outil d'autodiagnostic en ligne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45A2D" id="Rectangle à coins arrondis 2" o:spid="_x0000_s1026" style="position:absolute;left:0;text-align:left;margin-left:33.95pt;margin-top:7.25pt;width:313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" fillcolor="#c00000" strokecolor="#c00000" strokeweight="2pt">
                <v:shadow on="t" color="black" opacity="26214f" origin="-.5,-.5" offset=".74836mm,.74836mm"/>
                <v:textbox>
                  <w:txbxContent>
                    <w:p w:rsidR="005978D9" w:rsidRDefault="005978D9" w:rsidP="005978D9">
                      <w:pPr>
                        <w:jc w:val="center"/>
                      </w:pPr>
                      <w:r>
                        <w:rPr>
                          <w:b/>
                          <w:sz w:val="24"/>
                          <w:szCs w:val="24"/>
                        </w:rPr>
                        <w:t>Accédez à l’outil d'autodiagnostic en ligne</w:t>
                      </w:r>
                    </w:p>
                  </w:txbxContent>
                </v:textbox>
              </v:roundrect>
            </w:pict>
          </mc:Fallback>
        </mc:AlternateContent>
      </w:r>
    </w:p>
    <w:p w:rsidR="005978D9" w:rsidRDefault="005978D9" w:rsidP="005978D9">
      <w:pPr>
        <w:jc w:val="both"/>
        <w:rPr>
          <w:b/>
          <w:sz w:val="24"/>
          <w:szCs w:val="24"/>
        </w:rPr>
      </w:pPr>
    </w:p>
    <w:p w:rsidR="005978D9" w:rsidRDefault="005978D9" w:rsidP="005978D9">
      <w:pPr>
        <w:jc w:val="both"/>
        <w:rPr>
          <w:b/>
          <w:sz w:val="24"/>
          <w:szCs w:val="24"/>
        </w:rPr>
      </w:pPr>
    </w:p>
    <w:p w:rsidR="005978D9" w:rsidRDefault="005978D9" w:rsidP="005978D9">
      <w:pPr>
        <w:jc w:val="both"/>
        <w:rPr>
          <w:b/>
          <w:sz w:val="24"/>
          <w:szCs w:val="24"/>
        </w:rPr>
      </w:pPr>
      <w:bookmarkStart w:id="0" w:name="_GoBack"/>
      <w:bookmarkEnd w:id="0"/>
    </w:p>
    <w:p w:rsidR="00F421A5" w:rsidRDefault="00F421A5" w:rsidP="00C2056C">
      <w:pPr>
        <w:pStyle w:val="Titre3"/>
      </w:pPr>
      <w:r>
        <w:t>Facteurs clés de succès</w:t>
      </w:r>
    </w:p>
    <w:p w:rsidR="005978D9" w:rsidRDefault="005978D9" w:rsidP="00C2056C">
      <w:pPr>
        <w:pStyle w:val="Paragraphedeliste"/>
        <w:numPr>
          <w:ilvl w:val="0"/>
          <w:numId w:val="16"/>
        </w:numPr>
      </w:pPr>
      <w:r>
        <w:t>L’outil doit être rempli dans un cadre collectif</w:t>
      </w:r>
    </w:p>
    <w:p w:rsidR="00C2056C" w:rsidRDefault="00A207E7" w:rsidP="00C2056C">
      <w:pPr>
        <w:pStyle w:val="Paragraphedeliste"/>
        <w:numPr>
          <w:ilvl w:val="0"/>
          <w:numId w:val="16"/>
        </w:numPr>
      </w:pPr>
      <w:r>
        <w:t>L’outil a une visée institutionnelle</w:t>
      </w:r>
    </w:p>
    <w:p w:rsidR="009D56EF" w:rsidRDefault="009D56EF" w:rsidP="009D56EF">
      <w:pPr>
        <w:pStyle w:val="Titre3"/>
      </w:pPr>
      <w:r>
        <w:t>Fiches associées</w:t>
      </w:r>
      <w:r w:rsidR="005978D9">
        <w:t xml:space="preserve"> Les prérequis</w:t>
      </w:r>
    </w:p>
    <w:p w:rsidR="005978D9" w:rsidRPr="00622046" w:rsidRDefault="005978D9" w:rsidP="00622046">
      <w:pPr>
        <w:pStyle w:val="Listepuces"/>
        <w:numPr>
          <w:ilvl w:val="0"/>
          <w:numId w:val="16"/>
        </w:numPr>
        <w:spacing w:after="0" w:line="240" w:lineRule="auto"/>
        <w:rPr>
          <w:color w:val="6699FF"/>
        </w:rPr>
      </w:pPr>
      <w:r w:rsidRPr="00622046">
        <w:rPr>
          <w:color w:val="6699FF"/>
        </w:rPr>
        <w:t>Fiche 1 : les prérequis en quelques questions</w:t>
      </w:r>
    </w:p>
    <w:p w:rsidR="009D56EF" w:rsidRDefault="009D56EF" w:rsidP="009D56EF">
      <w:pPr>
        <w:pStyle w:val="Titre3"/>
      </w:pPr>
      <w:r>
        <w:t>outils associés</w:t>
      </w:r>
    </w:p>
    <w:sectPr w:rsidR="009D56EF" w:rsidSect="0038337D">
      <w:headerReference w:type="default" r:id="rId8"/>
      <w:footerReference w:type="default" r:id="rId9"/>
      <w:pgSz w:w="11906" w:h="16838"/>
      <w:pgMar w:top="2127" w:right="1134" w:bottom="851" w:left="1134" w:header="284"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17B" w:rsidRDefault="00C1217B" w:rsidP="00C2056C">
      <w:r>
        <w:separator/>
      </w:r>
    </w:p>
    <w:p w:rsidR="00C1217B" w:rsidRDefault="00C1217B" w:rsidP="00C2056C"/>
  </w:endnote>
  <w:endnote w:type="continuationSeparator" w:id="0">
    <w:p w:rsidR="00C1217B" w:rsidRDefault="00C1217B" w:rsidP="00C2056C">
      <w:r>
        <w:continuationSeparator/>
      </w:r>
    </w:p>
    <w:p w:rsidR="00C1217B" w:rsidRDefault="00C1217B" w:rsidP="00C20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0E" w:rsidRPr="00800F8A" w:rsidRDefault="00622046" w:rsidP="00622046">
    <w:pPr>
      <w:pStyle w:val="Pieddepage"/>
      <w:tabs>
        <w:tab w:val="left" w:pos="1245"/>
      </w:tabs>
      <w:jc w:val="left"/>
      <w:rPr>
        <w:i/>
        <w:color w:val="948A54" w:themeColor="background2" w:themeShade="80"/>
      </w:rPr>
    </w:pPr>
    <w:r>
      <w:rPr>
        <w:i/>
        <w:color w:val="948A54" w:themeColor="background2" w:themeShade="80"/>
      </w:rPr>
      <w:t xml:space="preserve"> </w:t>
    </w:r>
    <w:r w:rsidR="007D700E" w:rsidRPr="00800F8A">
      <w:rPr>
        <w:i/>
        <w:color w:val="948A54" w:themeColor="background2" w:themeShade="80"/>
      </w:rPr>
      <w:tab/>
    </w:r>
    <w:r>
      <w:rPr>
        <w:i/>
        <w:color w:val="948A54" w:themeColor="background2" w:themeShade="80"/>
      </w:rPr>
      <w:tab/>
    </w:r>
    <w:r w:rsidR="007D700E" w:rsidRPr="00800F8A">
      <w:rPr>
        <w:i/>
        <w:color w:val="948A54" w:themeColor="background2" w:themeShade="80"/>
      </w:rPr>
      <w:t>- </w:t>
    </w:r>
    <w:sdt>
      <w:sdtPr>
        <w:rPr>
          <w:i/>
          <w:color w:val="948A54" w:themeColor="background2" w:themeShade="80"/>
        </w:rPr>
        <w:id w:val="10869422"/>
        <w:docPartObj>
          <w:docPartGallery w:val="Page Numbers (Bottom of Page)"/>
          <w:docPartUnique/>
        </w:docPartObj>
      </w:sdtPr>
      <w:sdtEndPr/>
      <w:sdtContent>
        <w:r w:rsidR="007D700E" w:rsidRPr="00800F8A">
          <w:rPr>
            <w:i/>
            <w:color w:val="948A54" w:themeColor="background2" w:themeShade="80"/>
          </w:rPr>
          <w:fldChar w:fldCharType="begin"/>
        </w:r>
        <w:r w:rsidR="007D700E" w:rsidRPr="00800F8A">
          <w:rPr>
            <w:i/>
            <w:color w:val="948A54" w:themeColor="background2" w:themeShade="80"/>
          </w:rPr>
          <w:instrText xml:space="preserve"> PAGE   \* MERGEFORMAT </w:instrText>
        </w:r>
        <w:r w:rsidR="007D700E" w:rsidRPr="00800F8A">
          <w:rPr>
            <w:i/>
            <w:color w:val="948A54" w:themeColor="background2" w:themeShade="80"/>
          </w:rPr>
          <w:fldChar w:fldCharType="separate"/>
        </w:r>
        <w:r w:rsidR="00A61986">
          <w:rPr>
            <w:i/>
            <w:noProof/>
            <w:color w:val="948A54" w:themeColor="background2" w:themeShade="80"/>
          </w:rPr>
          <w:t>1</w:t>
        </w:r>
        <w:r w:rsidR="007D700E" w:rsidRPr="00800F8A">
          <w:rPr>
            <w:i/>
            <w:color w:val="948A54" w:themeColor="background2" w:themeShade="80"/>
          </w:rPr>
          <w:fldChar w:fldCharType="end"/>
        </w:r>
        <w:r w:rsidR="007D700E" w:rsidRPr="00800F8A">
          <w:rPr>
            <w:i/>
            <w:color w:val="948A54" w:themeColor="background2" w:themeShade="80"/>
          </w:rPr>
          <w:t> –</w:t>
        </w:r>
      </w:sdtContent>
    </w:sdt>
    <w:r w:rsidR="007D700E" w:rsidRPr="00800F8A">
      <w:rPr>
        <w:i/>
        <w:color w:val="948A54" w:themeColor="background2" w:themeShade="80"/>
      </w:rPr>
      <w:tab/>
      <w:t>Fiche</w:t>
    </w:r>
    <w:r w:rsidR="002835E3">
      <w:rPr>
        <w:i/>
        <w:color w:val="948A54" w:themeColor="background2" w:themeShade="80"/>
      </w:rPr>
      <w:t xml:space="preserve"> Outil </w:t>
    </w:r>
    <w:r w:rsidR="007D700E" w:rsidRPr="00800F8A">
      <w:rPr>
        <w:i/>
        <w:color w:val="948A54" w:themeColor="background2" w:themeShade="80"/>
      </w:rPr>
      <w:t xml:space="preserve"> </w:t>
    </w:r>
    <w:r w:rsidR="00F41F05" w:rsidRPr="00800F8A">
      <w:rPr>
        <w:i/>
        <w:color w:val="948A54" w:themeColor="background2" w:themeShade="80"/>
      </w:rPr>
      <w:t>n°</w:t>
    </w:r>
    <w:r w:rsidR="00EB4E8F">
      <w:rPr>
        <w:i/>
        <w:color w:val="948A54" w:themeColor="background2" w:themeShade="80"/>
      </w:rPr>
      <w:t>1</w:t>
    </w:r>
    <w:r w:rsidR="007D700E" w:rsidRPr="00800F8A">
      <w:rPr>
        <w:i/>
        <w:color w:val="948A54" w:themeColor="background2" w:themeShade="80"/>
      </w:rPr>
      <w:t xml:space="preserve"> – </w:t>
    </w:r>
    <w:r w:rsidR="00A61986">
      <w:rPr>
        <w:i/>
        <w:color w:val="948A54" w:themeColor="background2" w:themeShade="80"/>
      </w:rPr>
      <w:t>décem</w:t>
    </w:r>
    <w:r w:rsidR="00EB4E8F">
      <w:rPr>
        <w:i/>
        <w:color w:val="948A54" w:themeColor="background2" w:themeShade="80"/>
      </w:rPr>
      <w:t>bre</w:t>
    </w:r>
    <w:r w:rsidR="007D700E" w:rsidRPr="00800F8A">
      <w:rPr>
        <w:i/>
        <w:color w:val="948A54" w:themeColor="background2" w:themeShade="80"/>
      </w:rPr>
      <w:t xml:space="preserve"> 20</w:t>
    </w:r>
    <w:r w:rsidR="00F41F05" w:rsidRPr="00800F8A">
      <w:rPr>
        <w:i/>
        <w:color w:val="948A54" w:themeColor="background2" w:themeShade="80"/>
      </w:rPr>
      <w:t>16</w:t>
    </w:r>
  </w:p>
  <w:p w:rsidR="00AE06C0" w:rsidRDefault="00AD1189" w:rsidP="00AD1189">
    <w:pPr>
      <w:tabs>
        <w:tab w:val="left" w:pos="209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17B" w:rsidRDefault="00C1217B" w:rsidP="00C2056C">
      <w:r>
        <w:separator/>
      </w:r>
    </w:p>
    <w:p w:rsidR="00C1217B" w:rsidRDefault="00C1217B" w:rsidP="00C2056C"/>
  </w:footnote>
  <w:footnote w:type="continuationSeparator" w:id="0">
    <w:p w:rsidR="00C1217B" w:rsidRDefault="00C1217B" w:rsidP="00C2056C">
      <w:r>
        <w:continuationSeparator/>
      </w:r>
    </w:p>
    <w:p w:rsidR="00C1217B" w:rsidRDefault="00C1217B" w:rsidP="00C205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7D" w:rsidRDefault="001B5E37" w:rsidP="00C2056C">
    <w:pPr>
      <w:pStyle w:val="En-tte"/>
      <w:rPr>
        <w:i/>
        <w:sz w:val="16"/>
        <w:szCs w:val="16"/>
      </w:rPr>
    </w:pPr>
    <w:r w:rsidRPr="00E1314D">
      <w:rPr>
        <w:noProof/>
        <w:lang w:eastAsia="fr-FR"/>
      </w:rPr>
      <w:drawing>
        <wp:inline distT="0" distB="0" distL="0" distR="0" wp14:anchorId="268006D5" wp14:editId="1892CF41">
          <wp:extent cx="6120000" cy="513168"/>
          <wp:effectExtent l="19050" t="0" r="0" b="0"/>
          <wp:docPr id="1" name="Image 1" descr="/Users/pixelis/Desktop/pour masque PPT/SLIDE_PPT_v2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_PPT_v2_OK.png" descr="/Users/pixelis/Desktop/pour masque PPT/SLIDE_PPT_v2_OK.png"/>
                  <pic:cNvPicPr>
                    <a:picLocks noChangeAspect="1"/>
                  </pic:cNvPicPr>
                </pic:nvPicPr>
                <pic:blipFill>
                  <a:blip r:embed="rId1" r:link="rId2"/>
                  <a:srcRect l="1181" t="11214" r="1575" b="11214"/>
                  <a:stretch>
                    <a:fillRect/>
                  </a:stretch>
                </pic:blipFill>
                <pic:spPr>
                  <a:xfrm>
                    <a:off x="0" y="0"/>
                    <a:ext cx="6120000" cy="513168"/>
                  </a:xfrm>
                  <a:prstGeom prst="rect">
                    <a:avLst/>
                  </a:prstGeom>
                </pic:spPr>
              </pic:pic>
            </a:graphicData>
          </a:graphic>
        </wp:inline>
      </w:drawing>
    </w:r>
    <w:proofErr w:type="spellStart"/>
    <w:r w:rsidR="002835E3">
      <w:t>Autodiag</w:t>
    </w:r>
    <w:proofErr w:type="spellEnd"/>
    <w:r w:rsidR="002835E3">
      <w:t xml:space="preserve"> en psychiatrie </w:t>
    </w:r>
    <w:r w:rsidR="005978D9">
      <w:t>et santé mentale</w:t>
    </w:r>
  </w:p>
  <w:p w:rsidR="001B5E37" w:rsidRPr="00AD1189" w:rsidRDefault="00622046" w:rsidP="00AD1189">
    <w:pPr>
      <w:pStyle w:val="En-tte"/>
      <w:jc w:val="right"/>
      <w:rPr>
        <w:b w:val="0"/>
        <w:i/>
        <w:sz w:val="16"/>
        <w:szCs w:val="16"/>
      </w:rPr>
    </w:pPr>
    <w:r>
      <w:rPr>
        <w:b w:val="0"/>
        <w:i/>
        <w:sz w:val="16"/>
        <w:szCs w:val="16"/>
      </w:rPr>
      <w:t>Mettre en œuvre un projet de parcours en psychiatrie et santé mentale</w:t>
    </w:r>
    <w:r w:rsidR="00C932C0">
      <w:rPr>
        <w:b w:val="0"/>
        <w:i/>
        <w:sz w:val="16"/>
        <w:szCs w:val="16"/>
      </w:rPr>
      <w:t xml:space="preserve"> </w:t>
    </w:r>
    <w:r w:rsidR="0038337D" w:rsidRPr="00AD1189">
      <w:rPr>
        <w:b w:val="0"/>
        <w:i/>
        <w:sz w:val="16"/>
        <w:szCs w:val="16"/>
      </w:rPr>
      <w:t xml:space="preserve"> – </w:t>
    </w:r>
    <w:r w:rsidR="00C932C0">
      <w:rPr>
        <w:b w:val="0"/>
        <w:i/>
        <w:sz w:val="16"/>
        <w:szCs w:val="16"/>
      </w:rPr>
      <w:t>Fiche</w:t>
    </w:r>
    <w:r w:rsidR="002835E3">
      <w:rPr>
        <w:b w:val="0"/>
        <w:i/>
        <w:sz w:val="16"/>
        <w:szCs w:val="16"/>
      </w:rPr>
      <w:t xml:space="preserve"> outil </w:t>
    </w:r>
    <w:r w:rsidR="00C932C0">
      <w:rPr>
        <w:b w:val="0"/>
        <w:i/>
        <w:sz w:val="16"/>
        <w:szCs w:val="16"/>
      </w:rPr>
      <w:t xml:space="preserve"> n°1</w:t>
    </w:r>
  </w:p>
  <w:p w:rsidR="00AE06C0" w:rsidRDefault="00AE06C0" w:rsidP="00C205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AE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B8C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E0A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CB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E06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64C0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A61F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CC3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C9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A40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E386E"/>
    <w:multiLevelType w:val="hybridMultilevel"/>
    <w:tmpl w:val="260C07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3945A2E"/>
    <w:multiLevelType w:val="hybridMultilevel"/>
    <w:tmpl w:val="B4D4BE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8C449DE"/>
    <w:multiLevelType w:val="hybridMultilevel"/>
    <w:tmpl w:val="06BA68E8"/>
    <w:lvl w:ilvl="0" w:tplc="F62A4FB4">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1956F3"/>
    <w:multiLevelType w:val="hybridMultilevel"/>
    <w:tmpl w:val="38B24F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1EE6DEE"/>
    <w:multiLevelType w:val="hybridMultilevel"/>
    <w:tmpl w:val="23B07C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2F3633B"/>
    <w:multiLevelType w:val="hybridMultilevel"/>
    <w:tmpl w:val="F0C4267E"/>
    <w:lvl w:ilvl="0" w:tplc="C71E4F76">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677225"/>
    <w:multiLevelType w:val="hybridMultilevel"/>
    <w:tmpl w:val="764CE66E"/>
    <w:lvl w:ilvl="0" w:tplc="DC24E8F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1F6348"/>
    <w:multiLevelType w:val="hybridMultilevel"/>
    <w:tmpl w:val="98A6919C"/>
    <w:lvl w:ilvl="0" w:tplc="FE92CE4A">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963C9B"/>
    <w:multiLevelType w:val="hybridMultilevel"/>
    <w:tmpl w:val="4DD2C568"/>
    <w:lvl w:ilvl="0" w:tplc="F7B44AA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6F5101"/>
    <w:multiLevelType w:val="hybridMultilevel"/>
    <w:tmpl w:val="61D4A1B6"/>
    <w:lvl w:ilvl="0" w:tplc="3B50D7BA">
      <w:start w:val="1"/>
      <w:numFmt w:val="bullet"/>
      <w:pStyle w:val="Paragraphedelist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5AE3DD6"/>
    <w:multiLevelType w:val="hybridMultilevel"/>
    <w:tmpl w:val="99ACE8C0"/>
    <w:lvl w:ilvl="0" w:tplc="2DAA3CFA">
      <w:numFmt w:val="bullet"/>
      <w:pStyle w:val="Listepuces"/>
      <w:lvlText w:val="-"/>
      <w:lvlJc w:val="left"/>
      <w:pPr>
        <w:ind w:left="5144" w:hanging="360"/>
      </w:pPr>
      <w:rPr>
        <w:rFonts w:ascii="Calibri" w:eastAsiaTheme="minorHAnsi" w:hAnsi="Calibri" w:cstheme="minorBidi" w:hint="default"/>
      </w:rPr>
    </w:lvl>
    <w:lvl w:ilvl="1" w:tplc="040C0003" w:tentative="1">
      <w:start w:val="1"/>
      <w:numFmt w:val="bullet"/>
      <w:lvlText w:val="o"/>
      <w:lvlJc w:val="left"/>
      <w:pPr>
        <w:ind w:left="5864" w:hanging="360"/>
      </w:pPr>
      <w:rPr>
        <w:rFonts w:ascii="Courier New" w:hAnsi="Courier New" w:cs="Courier New" w:hint="default"/>
      </w:rPr>
    </w:lvl>
    <w:lvl w:ilvl="2" w:tplc="040C0005" w:tentative="1">
      <w:start w:val="1"/>
      <w:numFmt w:val="bullet"/>
      <w:lvlText w:val=""/>
      <w:lvlJc w:val="left"/>
      <w:pPr>
        <w:ind w:left="6584" w:hanging="360"/>
      </w:pPr>
      <w:rPr>
        <w:rFonts w:ascii="Wingdings" w:hAnsi="Wingdings" w:hint="default"/>
      </w:rPr>
    </w:lvl>
    <w:lvl w:ilvl="3" w:tplc="040C0001" w:tentative="1">
      <w:start w:val="1"/>
      <w:numFmt w:val="bullet"/>
      <w:lvlText w:val=""/>
      <w:lvlJc w:val="left"/>
      <w:pPr>
        <w:ind w:left="7304" w:hanging="360"/>
      </w:pPr>
      <w:rPr>
        <w:rFonts w:ascii="Symbol" w:hAnsi="Symbol" w:hint="default"/>
      </w:rPr>
    </w:lvl>
    <w:lvl w:ilvl="4" w:tplc="040C0003" w:tentative="1">
      <w:start w:val="1"/>
      <w:numFmt w:val="bullet"/>
      <w:lvlText w:val="o"/>
      <w:lvlJc w:val="left"/>
      <w:pPr>
        <w:ind w:left="8024" w:hanging="360"/>
      </w:pPr>
      <w:rPr>
        <w:rFonts w:ascii="Courier New" w:hAnsi="Courier New" w:cs="Courier New" w:hint="default"/>
      </w:rPr>
    </w:lvl>
    <w:lvl w:ilvl="5" w:tplc="040C0005" w:tentative="1">
      <w:start w:val="1"/>
      <w:numFmt w:val="bullet"/>
      <w:lvlText w:val=""/>
      <w:lvlJc w:val="left"/>
      <w:pPr>
        <w:ind w:left="8744" w:hanging="360"/>
      </w:pPr>
      <w:rPr>
        <w:rFonts w:ascii="Wingdings" w:hAnsi="Wingdings" w:hint="default"/>
      </w:rPr>
    </w:lvl>
    <w:lvl w:ilvl="6" w:tplc="040C0001" w:tentative="1">
      <w:start w:val="1"/>
      <w:numFmt w:val="bullet"/>
      <w:lvlText w:val=""/>
      <w:lvlJc w:val="left"/>
      <w:pPr>
        <w:ind w:left="9464" w:hanging="360"/>
      </w:pPr>
      <w:rPr>
        <w:rFonts w:ascii="Symbol" w:hAnsi="Symbol" w:hint="default"/>
      </w:rPr>
    </w:lvl>
    <w:lvl w:ilvl="7" w:tplc="040C0003" w:tentative="1">
      <w:start w:val="1"/>
      <w:numFmt w:val="bullet"/>
      <w:lvlText w:val="o"/>
      <w:lvlJc w:val="left"/>
      <w:pPr>
        <w:ind w:left="10184" w:hanging="360"/>
      </w:pPr>
      <w:rPr>
        <w:rFonts w:ascii="Courier New" w:hAnsi="Courier New" w:cs="Courier New" w:hint="default"/>
      </w:rPr>
    </w:lvl>
    <w:lvl w:ilvl="8" w:tplc="040C0005" w:tentative="1">
      <w:start w:val="1"/>
      <w:numFmt w:val="bullet"/>
      <w:lvlText w:val=""/>
      <w:lvlJc w:val="left"/>
      <w:pPr>
        <w:ind w:left="10904" w:hanging="360"/>
      </w:pPr>
      <w:rPr>
        <w:rFonts w:ascii="Wingdings" w:hAnsi="Wingdings" w:hint="default"/>
      </w:rPr>
    </w:lvl>
  </w:abstractNum>
  <w:abstractNum w:abstractNumId="21" w15:restartNumberingAfterBreak="0">
    <w:nsid w:val="6F054F2F"/>
    <w:multiLevelType w:val="hybridMultilevel"/>
    <w:tmpl w:val="2494BD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6"/>
  </w:num>
  <w:num w:numId="14">
    <w:abstractNumId w:val="18"/>
  </w:num>
  <w:num w:numId="15">
    <w:abstractNumId w:val="19"/>
  </w:num>
  <w:num w:numId="16">
    <w:abstractNumId w:val="13"/>
  </w:num>
  <w:num w:numId="17">
    <w:abstractNumId w:val="14"/>
  </w:num>
  <w:num w:numId="18">
    <w:abstractNumId w:val="10"/>
  </w:num>
  <w:num w:numId="19">
    <w:abstractNumId w:val="12"/>
  </w:num>
  <w:num w:numId="20">
    <w:abstractNumId w:val="11"/>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4D"/>
    <w:rsid w:val="00005FD2"/>
    <w:rsid w:val="000206D4"/>
    <w:rsid w:val="00053C43"/>
    <w:rsid w:val="000602BB"/>
    <w:rsid w:val="00084A02"/>
    <w:rsid w:val="00091F1D"/>
    <w:rsid w:val="000C1083"/>
    <w:rsid w:val="000C1C49"/>
    <w:rsid w:val="000D5277"/>
    <w:rsid w:val="000E629C"/>
    <w:rsid w:val="000F23AA"/>
    <w:rsid w:val="000F7A85"/>
    <w:rsid w:val="00131643"/>
    <w:rsid w:val="00145C79"/>
    <w:rsid w:val="001508D0"/>
    <w:rsid w:val="001529CF"/>
    <w:rsid w:val="00152FEB"/>
    <w:rsid w:val="001615AF"/>
    <w:rsid w:val="00175861"/>
    <w:rsid w:val="001A6F17"/>
    <w:rsid w:val="001B5E37"/>
    <w:rsid w:val="001C4111"/>
    <w:rsid w:val="001D190F"/>
    <w:rsid w:val="001E40CE"/>
    <w:rsid w:val="00231A67"/>
    <w:rsid w:val="00244F7B"/>
    <w:rsid w:val="00245FBB"/>
    <w:rsid w:val="0024776A"/>
    <w:rsid w:val="002554B3"/>
    <w:rsid w:val="002772DA"/>
    <w:rsid w:val="002835E3"/>
    <w:rsid w:val="002A1253"/>
    <w:rsid w:val="002A2056"/>
    <w:rsid w:val="002B6D4B"/>
    <w:rsid w:val="003104CD"/>
    <w:rsid w:val="00313B51"/>
    <w:rsid w:val="0031403A"/>
    <w:rsid w:val="00316BA1"/>
    <w:rsid w:val="00323A55"/>
    <w:rsid w:val="00346007"/>
    <w:rsid w:val="0038337D"/>
    <w:rsid w:val="0038590A"/>
    <w:rsid w:val="00391F79"/>
    <w:rsid w:val="00394BD0"/>
    <w:rsid w:val="00396B6A"/>
    <w:rsid w:val="003C2663"/>
    <w:rsid w:val="003C7951"/>
    <w:rsid w:val="003F70AA"/>
    <w:rsid w:val="00422D1A"/>
    <w:rsid w:val="0043504B"/>
    <w:rsid w:val="00440843"/>
    <w:rsid w:val="0046028D"/>
    <w:rsid w:val="004728FC"/>
    <w:rsid w:val="0048168E"/>
    <w:rsid w:val="00492F72"/>
    <w:rsid w:val="00493C7C"/>
    <w:rsid w:val="004F0C04"/>
    <w:rsid w:val="00517559"/>
    <w:rsid w:val="00545250"/>
    <w:rsid w:val="005455F8"/>
    <w:rsid w:val="00552837"/>
    <w:rsid w:val="00554C80"/>
    <w:rsid w:val="005702E6"/>
    <w:rsid w:val="0057091F"/>
    <w:rsid w:val="005946C6"/>
    <w:rsid w:val="005978D9"/>
    <w:rsid w:val="005B05CB"/>
    <w:rsid w:val="005B3365"/>
    <w:rsid w:val="005C230B"/>
    <w:rsid w:val="005C3CB1"/>
    <w:rsid w:val="005E1158"/>
    <w:rsid w:val="00622046"/>
    <w:rsid w:val="006605DD"/>
    <w:rsid w:val="00695C2F"/>
    <w:rsid w:val="006E0CDE"/>
    <w:rsid w:val="006F34EE"/>
    <w:rsid w:val="006F3554"/>
    <w:rsid w:val="00700862"/>
    <w:rsid w:val="007014FC"/>
    <w:rsid w:val="00704452"/>
    <w:rsid w:val="00721B8D"/>
    <w:rsid w:val="00725B6B"/>
    <w:rsid w:val="007429AF"/>
    <w:rsid w:val="00752871"/>
    <w:rsid w:val="007548E2"/>
    <w:rsid w:val="007800E6"/>
    <w:rsid w:val="00784C4F"/>
    <w:rsid w:val="00793E13"/>
    <w:rsid w:val="007965EE"/>
    <w:rsid w:val="007A45A0"/>
    <w:rsid w:val="007B5D16"/>
    <w:rsid w:val="007C4A6B"/>
    <w:rsid w:val="007D700E"/>
    <w:rsid w:val="007F3DA2"/>
    <w:rsid w:val="007F7E84"/>
    <w:rsid w:val="00800F8A"/>
    <w:rsid w:val="008179DB"/>
    <w:rsid w:val="008A5ACE"/>
    <w:rsid w:val="008D387F"/>
    <w:rsid w:val="008E0300"/>
    <w:rsid w:val="008F63DE"/>
    <w:rsid w:val="008F7A64"/>
    <w:rsid w:val="00900FD1"/>
    <w:rsid w:val="009262DB"/>
    <w:rsid w:val="0094336F"/>
    <w:rsid w:val="009547FD"/>
    <w:rsid w:val="00963750"/>
    <w:rsid w:val="00970E64"/>
    <w:rsid w:val="00974DC2"/>
    <w:rsid w:val="00981778"/>
    <w:rsid w:val="00984C04"/>
    <w:rsid w:val="00985DF2"/>
    <w:rsid w:val="009C3F74"/>
    <w:rsid w:val="009C7EDA"/>
    <w:rsid w:val="009D1896"/>
    <w:rsid w:val="009D56EF"/>
    <w:rsid w:val="009E0C08"/>
    <w:rsid w:val="009E15A2"/>
    <w:rsid w:val="00A01693"/>
    <w:rsid w:val="00A204AF"/>
    <w:rsid w:val="00A207E7"/>
    <w:rsid w:val="00A24CC3"/>
    <w:rsid w:val="00A37402"/>
    <w:rsid w:val="00A374D7"/>
    <w:rsid w:val="00A522E7"/>
    <w:rsid w:val="00A57F45"/>
    <w:rsid w:val="00A61986"/>
    <w:rsid w:val="00A671E9"/>
    <w:rsid w:val="00A726B0"/>
    <w:rsid w:val="00A735B2"/>
    <w:rsid w:val="00AB4147"/>
    <w:rsid w:val="00AC706A"/>
    <w:rsid w:val="00AD1189"/>
    <w:rsid w:val="00AE06C0"/>
    <w:rsid w:val="00B04E00"/>
    <w:rsid w:val="00B16FEC"/>
    <w:rsid w:val="00B23878"/>
    <w:rsid w:val="00B272BD"/>
    <w:rsid w:val="00B431E8"/>
    <w:rsid w:val="00B63D5B"/>
    <w:rsid w:val="00B91806"/>
    <w:rsid w:val="00BA0A07"/>
    <w:rsid w:val="00BB1A0D"/>
    <w:rsid w:val="00BB1D30"/>
    <w:rsid w:val="00BC4EB8"/>
    <w:rsid w:val="00BE3820"/>
    <w:rsid w:val="00BF309D"/>
    <w:rsid w:val="00C1217B"/>
    <w:rsid w:val="00C2056C"/>
    <w:rsid w:val="00C2245D"/>
    <w:rsid w:val="00C25B4A"/>
    <w:rsid w:val="00C32066"/>
    <w:rsid w:val="00C345FA"/>
    <w:rsid w:val="00C4152E"/>
    <w:rsid w:val="00C704D4"/>
    <w:rsid w:val="00C932C0"/>
    <w:rsid w:val="00C95FDD"/>
    <w:rsid w:val="00CD4246"/>
    <w:rsid w:val="00D021F2"/>
    <w:rsid w:val="00D02400"/>
    <w:rsid w:val="00D1000B"/>
    <w:rsid w:val="00D12261"/>
    <w:rsid w:val="00D15210"/>
    <w:rsid w:val="00D46A4A"/>
    <w:rsid w:val="00D67D4F"/>
    <w:rsid w:val="00D82A03"/>
    <w:rsid w:val="00D93AD4"/>
    <w:rsid w:val="00D94A59"/>
    <w:rsid w:val="00DA5B51"/>
    <w:rsid w:val="00E1314D"/>
    <w:rsid w:val="00E16CFC"/>
    <w:rsid w:val="00E1732F"/>
    <w:rsid w:val="00E25B74"/>
    <w:rsid w:val="00E333CD"/>
    <w:rsid w:val="00E44006"/>
    <w:rsid w:val="00E56068"/>
    <w:rsid w:val="00E565E1"/>
    <w:rsid w:val="00E6049C"/>
    <w:rsid w:val="00E77362"/>
    <w:rsid w:val="00E80905"/>
    <w:rsid w:val="00E90624"/>
    <w:rsid w:val="00E91AE8"/>
    <w:rsid w:val="00EA347F"/>
    <w:rsid w:val="00EB35A8"/>
    <w:rsid w:val="00EB4E8F"/>
    <w:rsid w:val="00ED47F1"/>
    <w:rsid w:val="00ED5FDB"/>
    <w:rsid w:val="00EE4FF6"/>
    <w:rsid w:val="00EE78C5"/>
    <w:rsid w:val="00F30797"/>
    <w:rsid w:val="00F41F05"/>
    <w:rsid w:val="00F421A5"/>
    <w:rsid w:val="00F60C20"/>
    <w:rsid w:val="00F64D89"/>
    <w:rsid w:val="00F6645F"/>
    <w:rsid w:val="00FF333E"/>
    <w:rsid w:val="00FF7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2BFA1F7-E033-4A20-AEFB-8079F4CD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60" w:line="280" w:lineRule="atLeast"/>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6C"/>
    <w:pPr>
      <w:ind w:left="0"/>
      <w:jc w:val="left"/>
    </w:pPr>
    <w:rPr>
      <w:rFonts w:ascii="Trebuchet MS" w:hAnsi="Trebuchet MS"/>
      <w:sz w:val="20"/>
      <w:szCs w:val="21"/>
    </w:rPr>
  </w:style>
  <w:style w:type="paragraph" w:styleId="Titre1">
    <w:name w:val="heading 1"/>
    <w:basedOn w:val="Normal"/>
    <w:next w:val="Normal"/>
    <w:link w:val="Titre1Car"/>
    <w:uiPriority w:val="9"/>
    <w:qFormat/>
    <w:rsid w:val="00EB4E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unhideWhenUsed/>
    <w:qFormat/>
    <w:rsid w:val="00F41F05"/>
    <w:pPr>
      <w:keepNext/>
      <w:keepLines/>
      <w:shd w:val="clear" w:color="auto" w:fill="EEECE1" w:themeFill="background2"/>
      <w:spacing w:before="360"/>
      <w:outlineLvl w:val="2"/>
    </w:pPr>
    <w:rPr>
      <w:rFonts w:eastAsiaTheme="majorEastAsia" w:cstheme="majorBidi"/>
      <w:b/>
      <w:bCs/>
      <w:caps/>
      <w:color w:val="00B050"/>
      <w:sz w:val="24"/>
    </w:rPr>
  </w:style>
  <w:style w:type="paragraph" w:styleId="Titre4">
    <w:name w:val="heading 4"/>
    <w:basedOn w:val="Normal"/>
    <w:next w:val="Normal"/>
    <w:link w:val="Titre4Car"/>
    <w:uiPriority w:val="9"/>
    <w:unhideWhenUsed/>
    <w:qFormat/>
    <w:rsid w:val="00C2056C"/>
    <w:pPr>
      <w:keepNext/>
      <w:keepLines/>
      <w:spacing w:before="360"/>
      <w:ind w:left="708"/>
      <w:outlineLvl w:val="3"/>
    </w:pPr>
    <w:rPr>
      <w:rFonts w:eastAsiaTheme="majorEastAsia" w:cstheme="majorBidi"/>
      <w:b/>
      <w:iCs/>
      <w:smallCaps/>
      <w:color w:val="00B05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04AF"/>
    <w:pPr>
      <w:pBdr>
        <w:bottom w:val="single" w:sz="18" w:space="1" w:color="1F497D" w:themeColor="text2"/>
      </w:pBdr>
      <w:tabs>
        <w:tab w:val="center" w:pos="4536"/>
        <w:tab w:val="right" w:pos="9072"/>
      </w:tabs>
      <w:spacing w:before="0" w:line="240" w:lineRule="auto"/>
      <w:jc w:val="center"/>
    </w:pPr>
    <w:rPr>
      <w:b/>
      <w:sz w:val="28"/>
    </w:rPr>
  </w:style>
  <w:style w:type="character" w:customStyle="1" w:styleId="En-tteCar">
    <w:name w:val="En-tête Car"/>
    <w:basedOn w:val="Policepardfaut"/>
    <w:link w:val="En-tte"/>
    <w:uiPriority w:val="99"/>
    <w:rsid w:val="00A204AF"/>
    <w:rPr>
      <w:rFonts w:ascii="Trebuchet MS" w:hAnsi="Trebuchet MS"/>
      <w:b/>
      <w:sz w:val="28"/>
    </w:rPr>
  </w:style>
  <w:style w:type="paragraph" w:styleId="Pieddepage">
    <w:name w:val="footer"/>
    <w:basedOn w:val="Normal"/>
    <w:link w:val="PieddepageCar"/>
    <w:uiPriority w:val="99"/>
    <w:unhideWhenUsed/>
    <w:rsid w:val="00F421A5"/>
    <w:pPr>
      <w:tabs>
        <w:tab w:val="center" w:pos="4536"/>
        <w:tab w:val="right" w:pos="9072"/>
      </w:tabs>
      <w:spacing w:before="0" w:line="240" w:lineRule="auto"/>
      <w:jc w:val="center"/>
    </w:pPr>
  </w:style>
  <w:style w:type="character" w:customStyle="1" w:styleId="PieddepageCar">
    <w:name w:val="Pied de page Car"/>
    <w:basedOn w:val="Policepardfaut"/>
    <w:link w:val="Pieddepage"/>
    <w:uiPriority w:val="99"/>
    <w:rsid w:val="00F421A5"/>
    <w:rPr>
      <w:rFonts w:ascii="Trebuchet MS" w:hAnsi="Trebuchet MS"/>
      <w:sz w:val="20"/>
      <w:szCs w:val="21"/>
    </w:rPr>
  </w:style>
  <w:style w:type="paragraph" w:styleId="Textedebulles">
    <w:name w:val="Balloon Text"/>
    <w:basedOn w:val="Normal"/>
    <w:link w:val="TextedebullesCar"/>
    <w:uiPriority w:val="99"/>
    <w:semiHidden/>
    <w:unhideWhenUsed/>
    <w:rsid w:val="00E1314D"/>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314D"/>
    <w:rPr>
      <w:rFonts w:ascii="Tahoma" w:hAnsi="Tahoma" w:cs="Tahoma"/>
      <w:sz w:val="16"/>
      <w:szCs w:val="16"/>
    </w:rPr>
  </w:style>
  <w:style w:type="table" w:styleId="Grilledutableau">
    <w:name w:val="Table Grid"/>
    <w:basedOn w:val="TableauNormal"/>
    <w:uiPriority w:val="59"/>
    <w:rsid w:val="00FF730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colonne">
    <w:name w:val="Tbl_colonne"/>
    <w:basedOn w:val="Tblcellule"/>
    <w:rsid w:val="00963750"/>
    <w:pPr>
      <w:keepNext/>
      <w:spacing w:line="240" w:lineRule="auto"/>
      <w:jc w:val="center"/>
    </w:pPr>
    <w:rPr>
      <w:b/>
      <w:color w:val="4A442A" w:themeColor="background2" w:themeShade="40"/>
      <w:sz w:val="20"/>
    </w:rPr>
  </w:style>
  <w:style w:type="paragraph" w:customStyle="1" w:styleId="Tblligne">
    <w:name w:val="Tbl_ligne"/>
    <w:basedOn w:val="Tblcellule"/>
    <w:rsid w:val="005702E6"/>
    <w:pPr>
      <w:spacing w:line="240" w:lineRule="auto"/>
      <w:jc w:val="center"/>
    </w:pPr>
    <w:rPr>
      <w:b/>
      <w:color w:val="4A442A" w:themeColor="background2" w:themeShade="40"/>
      <w:sz w:val="20"/>
    </w:rPr>
  </w:style>
  <w:style w:type="paragraph" w:customStyle="1" w:styleId="Tblcellule">
    <w:name w:val="Tbl_cellule"/>
    <w:basedOn w:val="Normal"/>
    <w:rsid w:val="007C4A6B"/>
    <w:pPr>
      <w:spacing w:before="0" w:line="260" w:lineRule="atLeast"/>
    </w:pPr>
    <w:rPr>
      <w:sz w:val="18"/>
    </w:rPr>
  </w:style>
  <w:style w:type="character" w:customStyle="1" w:styleId="Titre3Car">
    <w:name w:val="Titre 3 Car"/>
    <w:basedOn w:val="Policepardfaut"/>
    <w:link w:val="Titre3"/>
    <w:uiPriority w:val="9"/>
    <w:rsid w:val="00F41F05"/>
    <w:rPr>
      <w:rFonts w:ascii="Trebuchet MS" w:eastAsiaTheme="majorEastAsia" w:hAnsi="Trebuchet MS" w:cstheme="majorBidi"/>
      <w:b/>
      <w:bCs/>
      <w:caps/>
      <w:color w:val="00B050"/>
      <w:sz w:val="24"/>
      <w:szCs w:val="21"/>
      <w:shd w:val="clear" w:color="auto" w:fill="EEECE1" w:themeFill="background2"/>
    </w:rPr>
  </w:style>
  <w:style w:type="paragraph" w:styleId="Paragraphedeliste">
    <w:name w:val="List Paragraph"/>
    <w:basedOn w:val="Normal"/>
    <w:uiPriority w:val="34"/>
    <w:qFormat/>
    <w:rsid w:val="00F421A5"/>
    <w:pPr>
      <w:numPr>
        <w:numId w:val="15"/>
      </w:numPr>
      <w:contextualSpacing/>
    </w:pPr>
  </w:style>
  <w:style w:type="character" w:styleId="Accentuation">
    <w:name w:val="Emphasis"/>
    <w:basedOn w:val="Policepardfaut"/>
    <w:uiPriority w:val="20"/>
    <w:qFormat/>
    <w:rsid w:val="00963750"/>
    <w:rPr>
      <w:i/>
      <w:iCs/>
    </w:rPr>
  </w:style>
  <w:style w:type="character" w:styleId="Marquedecommentaire">
    <w:name w:val="annotation reference"/>
    <w:basedOn w:val="Policepardfaut"/>
    <w:uiPriority w:val="99"/>
    <w:semiHidden/>
    <w:unhideWhenUsed/>
    <w:rsid w:val="00E333CD"/>
    <w:rPr>
      <w:sz w:val="16"/>
      <w:szCs w:val="16"/>
    </w:rPr>
  </w:style>
  <w:style w:type="paragraph" w:styleId="Commentaire">
    <w:name w:val="annotation text"/>
    <w:basedOn w:val="Normal"/>
    <w:link w:val="CommentaireCar"/>
    <w:uiPriority w:val="99"/>
    <w:semiHidden/>
    <w:unhideWhenUsed/>
    <w:rsid w:val="00E333CD"/>
    <w:pPr>
      <w:spacing w:line="240" w:lineRule="auto"/>
    </w:pPr>
    <w:rPr>
      <w:szCs w:val="20"/>
    </w:rPr>
  </w:style>
  <w:style w:type="character" w:customStyle="1" w:styleId="CommentaireCar">
    <w:name w:val="Commentaire Car"/>
    <w:basedOn w:val="Policepardfaut"/>
    <w:link w:val="Commentaire"/>
    <w:uiPriority w:val="99"/>
    <w:semiHidden/>
    <w:rsid w:val="00E333CD"/>
    <w:rPr>
      <w:rFonts w:ascii="Trebuchet MS" w:hAnsi="Trebuchet MS"/>
      <w:sz w:val="20"/>
      <w:szCs w:val="20"/>
    </w:rPr>
  </w:style>
  <w:style w:type="paragraph" w:styleId="Objetducommentaire">
    <w:name w:val="annotation subject"/>
    <w:basedOn w:val="Commentaire"/>
    <w:next w:val="Commentaire"/>
    <w:link w:val="ObjetducommentaireCar"/>
    <w:uiPriority w:val="99"/>
    <w:semiHidden/>
    <w:unhideWhenUsed/>
    <w:rsid w:val="00E333CD"/>
    <w:rPr>
      <w:b/>
      <w:bCs/>
    </w:rPr>
  </w:style>
  <w:style w:type="character" w:customStyle="1" w:styleId="ObjetducommentaireCar">
    <w:name w:val="Objet du commentaire Car"/>
    <w:basedOn w:val="CommentaireCar"/>
    <w:link w:val="Objetducommentaire"/>
    <w:uiPriority w:val="99"/>
    <w:semiHidden/>
    <w:rsid w:val="00E333CD"/>
    <w:rPr>
      <w:rFonts w:ascii="Trebuchet MS" w:hAnsi="Trebuchet MS"/>
      <w:b/>
      <w:bCs/>
      <w:sz w:val="20"/>
      <w:szCs w:val="20"/>
    </w:rPr>
  </w:style>
  <w:style w:type="character" w:customStyle="1" w:styleId="Titre4Car">
    <w:name w:val="Titre 4 Car"/>
    <w:basedOn w:val="Policepardfaut"/>
    <w:link w:val="Titre4"/>
    <w:uiPriority w:val="9"/>
    <w:rsid w:val="00C2056C"/>
    <w:rPr>
      <w:rFonts w:ascii="Trebuchet MS" w:eastAsiaTheme="majorEastAsia" w:hAnsi="Trebuchet MS" w:cstheme="majorBidi"/>
      <w:b/>
      <w:iCs/>
      <w:smallCaps/>
      <w:color w:val="00B050"/>
      <w:szCs w:val="21"/>
    </w:rPr>
  </w:style>
  <w:style w:type="paragraph" w:styleId="Citationintense">
    <w:name w:val="Intense Quote"/>
    <w:basedOn w:val="Normal"/>
    <w:next w:val="Normal"/>
    <w:link w:val="CitationintenseCar"/>
    <w:uiPriority w:val="30"/>
    <w:qFormat/>
    <w:rsid w:val="00793E13"/>
    <w:pPr>
      <w:pBdr>
        <w:top w:val="single" w:sz="4" w:space="1" w:color="FF0000"/>
        <w:left w:val="single" w:sz="4" w:space="4" w:color="FF0000"/>
        <w:bottom w:val="single" w:sz="4" w:space="4" w:color="FF0000"/>
        <w:right w:val="single" w:sz="4" w:space="4" w:color="FF0000"/>
      </w:pBdr>
      <w:spacing w:before="200" w:after="280"/>
      <w:ind w:left="936" w:right="936"/>
    </w:pPr>
    <w:rPr>
      <w:b/>
      <w:bCs/>
      <w:i/>
      <w:iCs/>
      <w:color w:val="FF0000"/>
      <w:sz w:val="22"/>
    </w:rPr>
  </w:style>
  <w:style w:type="character" w:customStyle="1" w:styleId="CitationintenseCar">
    <w:name w:val="Citation intense Car"/>
    <w:basedOn w:val="Policepardfaut"/>
    <w:link w:val="Citationintense"/>
    <w:uiPriority w:val="30"/>
    <w:rsid w:val="00793E13"/>
    <w:rPr>
      <w:rFonts w:ascii="Trebuchet MS" w:hAnsi="Trebuchet MS"/>
      <w:b/>
      <w:bCs/>
      <w:i/>
      <w:iCs/>
      <w:color w:val="FF0000"/>
      <w:szCs w:val="21"/>
    </w:rPr>
  </w:style>
  <w:style w:type="table" w:customStyle="1" w:styleId="Grilledutableau1">
    <w:name w:val="Grille du tableau1"/>
    <w:basedOn w:val="TableauNormal"/>
    <w:next w:val="Grilledutableau"/>
    <w:uiPriority w:val="59"/>
    <w:rsid w:val="0051755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B4E8F"/>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9D56EF"/>
    <w:rPr>
      <w:color w:val="0000FF" w:themeColor="hyperlink"/>
      <w:u w:val="single"/>
    </w:rPr>
  </w:style>
  <w:style w:type="paragraph" w:styleId="Listepuces">
    <w:name w:val="List Bullet"/>
    <w:basedOn w:val="Normal"/>
    <w:uiPriority w:val="99"/>
    <w:unhideWhenUsed/>
    <w:qFormat/>
    <w:rsid w:val="00622046"/>
    <w:pPr>
      <w:numPr>
        <w:numId w:val="1"/>
      </w:numPr>
      <w:spacing w:before="0" w:after="240" w:line="360" w:lineRule="auto"/>
      <w:contextualSpacing/>
      <w:jc w:val="both"/>
    </w:pPr>
    <w:rPr>
      <w:rFonts w:ascii="Calibri" w:eastAsia="Times New Roman" w:hAnsi="Calibri" w:cs="Times New Roman"/>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localhost/Users/pixelis/Desktop/pour%20masque%20PPT/SLIDE_PPT_v2_OK.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91057A-93BE-4B5B-9BBF-F6815722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350</Words>
  <Characters>1926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ANAP</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Equipe DTSM</dc:creator>
  <cp:lastModifiedBy>Corinne Martinez</cp:lastModifiedBy>
  <cp:revision>7</cp:revision>
  <dcterms:created xsi:type="dcterms:W3CDTF">2016-05-24T13:34:00Z</dcterms:created>
  <dcterms:modified xsi:type="dcterms:W3CDTF">2016-12-13T14:06:00Z</dcterms:modified>
</cp:coreProperties>
</file>